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C449B6" w14:textId="77777777" w:rsidR="00047D63" w:rsidRPr="00595047" w:rsidRDefault="00047D63" w:rsidP="00047D63">
      <w:pPr>
        <w:bidi/>
        <w:rPr>
          <w:b/>
          <w:bCs/>
        </w:rPr>
      </w:pPr>
      <w:r w:rsidRPr="00595047">
        <w:rPr>
          <w:b/>
          <w:bCs/>
          <w:rtl/>
          <w:lang w:eastAsia="ar"/>
        </w:rPr>
        <w:t xml:space="preserve">الأنظمة الميكانيكية </w:t>
      </w:r>
    </w:p>
    <w:p w14:paraId="524CA721" w14:textId="77777777" w:rsidR="00047D63" w:rsidRPr="00C423D5" w:rsidRDefault="00047D63" w:rsidP="00047D63">
      <w:pPr>
        <w:bidi/>
        <w:ind w:left="720"/>
      </w:pPr>
    </w:p>
    <w:tbl>
      <w:tblPr>
        <w:bidiVisual/>
        <w:tblW w:w="10260"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0"/>
        <w:gridCol w:w="4072"/>
        <w:gridCol w:w="1980"/>
        <w:gridCol w:w="1694"/>
        <w:gridCol w:w="508"/>
        <w:gridCol w:w="26"/>
        <w:gridCol w:w="482"/>
        <w:gridCol w:w="508"/>
      </w:tblGrid>
      <w:tr w:rsidR="00047D63" w:rsidRPr="00C423D5" w14:paraId="789DF36A" w14:textId="77777777" w:rsidTr="00C14BAD">
        <w:trPr>
          <w:trHeight w:val="105"/>
          <w:tblHeader/>
        </w:trPr>
        <w:tc>
          <w:tcPr>
            <w:tcW w:w="7042" w:type="dxa"/>
            <w:gridSpan w:val="3"/>
            <w:tcBorders>
              <w:top w:val="single" w:sz="4" w:space="0" w:color="auto"/>
              <w:left w:val="single" w:sz="4" w:space="0" w:color="auto"/>
              <w:bottom w:val="single" w:sz="4" w:space="0" w:color="auto"/>
            </w:tcBorders>
            <w:shd w:val="clear" w:color="auto" w:fill="auto"/>
            <w:noWrap/>
            <w:vAlign w:val="center"/>
          </w:tcPr>
          <w:p w14:paraId="61B478EC" w14:textId="77777777" w:rsidR="00047D63" w:rsidRPr="00595047" w:rsidRDefault="00047D63" w:rsidP="00C14BAD">
            <w:pPr>
              <w:tabs>
                <w:tab w:val="left" w:pos="1536"/>
              </w:tabs>
              <w:bidi/>
              <w:rPr>
                <w:rFonts w:cs="Arial"/>
                <w:b/>
                <w:color w:val="000000"/>
                <w:sz w:val="18"/>
                <w:szCs w:val="18"/>
              </w:rPr>
            </w:pPr>
            <w:r w:rsidRPr="009B5826">
              <w:rPr>
                <w:rFonts w:cs="Arial"/>
                <w:b/>
                <w:bCs/>
                <w:sz w:val="18"/>
                <w:szCs w:val="18"/>
                <w:rtl/>
                <w:lang w:eastAsia="ar"/>
              </w:rPr>
              <w:t>اسم مرفق الرعاية الصحية:</w:t>
            </w:r>
          </w:p>
        </w:tc>
        <w:tc>
          <w:tcPr>
            <w:tcW w:w="2228" w:type="dxa"/>
            <w:gridSpan w:val="3"/>
            <w:tcBorders>
              <w:top w:val="single" w:sz="4" w:space="0" w:color="auto"/>
              <w:bottom w:val="single" w:sz="4" w:space="0" w:color="auto"/>
            </w:tcBorders>
            <w:shd w:val="clear" w:color="auto" w:fill="auto"/>
            <w:vAlign w:val="center"/>
          </w:tcPr>
          <w:p w14:paraId="638FF111" w14:textId="77777777" w:rsidR="00047D63" w:rsidRPr="00595047" w:rsidRDefault="00047D63" w:rsidP="00C14BAD">
            <w:pPr>
              <w:tabs>
                <w:tab w:val="left" w:pos="1536"/>
              </w:tabs>
              <w:bidi/>
              <w:rPr>
                <w:rFonts w:cs="Arial"/>
                <w:b/>
                <w:color w:val="000000"/>
                <w:sz w:val="18"/>
                <w:szCs w:val="18"/>
              </w:rPr>
            </w:pPr>
            <w:r w:rsidRPr="00595047">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241FF244" w14:textId="77777777" w:rsidR="00047D63" w:rsidRPr="00595047" w:rsidRDefault="00047D63" w:rsidP="00C14BAD">
            <w:pPr>
              <w:tabs>
                <w:tab w:val="left" w:pos="1536"/>
              </w:tabs>
              <w:bidi/>
              <w:rPr>
                <w:rFonts w:cs="Arial"/>
                <w:b/>
                <w:color w:val="000000"/>
                <w:sz w:val="18"/>
                <w:szCs w:val="18"/>
              </w:rPr>
            </w:pPr>
            <w:r w:rsidRPr="00595047">
              <w:rPr>
                <w:rFonts w:cs="Arial"/>
                <w:b/>
                <w:bCs/>
                <w:sz w:val="18"/>
                <w:szCs w:val="18"/>
                <w:rtl/>
                <w:lang w:eastAsia="ar"/>
              </w:rPr>
              <w:t xml:space="preserve">النسخة - 000 </w:t>
            </w:r>
          </w:p>
        </w:tc>
      </w:tr>
      <w:tr w:rsidR="00047D63" w:rsidRPr="00C423D5" w14:paraId="1066AC8A" w14:textId="77777777" w:rsidTr="00C14BAD">
        <w:trPr>
          <w:trHeight w:val="307"/>
        </w:trPr>
        <w:tc>
          <w:tcPr>
            <w:tcW w:w="99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5E902C1B" w14:textId="77777777" w:rsidR="00047D63" w:rsidRPr="00595047" w:rsidRDefault="00047D63" w:rsidP="00C14BAD">
            <w:pPr>
              <w:bidi/>
              <w:jc w:val="center"/>
              <w:rPr>
                <w:b/>
              </w:rPr>
            </w:pPr>
            <w:r w:rsidRPr="00595047">
              <w:rPr>
                <w:b/>
                <w:bCs/>
                <w:rtl/>
                <w:lang w:eastAsia="ar"/>
              </w:rPr>
              <w:t>الرقم</w:t>
            </w:r>
          </w:p>
        </w:tc>
        <w:tc>
          <w:tcPr>
            <w:tcW w:w="7746" w:type="dxa"/>
            <w:gridSpan w:val="3"/>
            <w:vMerge w:val="restart"/>
            <w:tcBorders>
              <w:top w:val="single" w:sz="4" w:space="0" w:color="auto"/>
              <w:bottom w:val="single" w:sz="4" w:space="0" w:color="auto"/>
            </w:tcBorders>
            <w:shd w:val="clear" w:color="auto" w:fill="C6D9F1" w:themeFill="text2" w:themeFillTint="33"/>
            <w:vAlign w:val="center"/>
          </w:tcPr>
          <w:p w14:paraId="5BF8F8B9" w14:textId="77777777" w:rsidR="00047D63" w:rsidRPr="00595047" w:rsidRDefault="00047D63" w:rsidP="00C14BAD">
            <w:pPr>
              <w:bidi/>
              <w:jc w:val="center"/>
              <w:rPr>
                <w:b/>
                <w:color w:val="000000"/>
              </w:rPr>
            </w:pPr>
            <w:r w:rsidRPr="00595047">
              <w:rPr>
                <w:b/>
                <w:bCs/>
                <w:rtl/>
                <w:lang w:eastAsia="ar"/>
              </w:rPr>
              <w:t>قائمة التدقيق الخاصة بفحص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AC724" w14:textId="43DD2EEB" w:rsidR="00047D63" w:rsidRPr="00C423D5" w:rsidRDefault="002048A1" w:rsidP="00C14BAD">
            <w:pPr>
              <w:bidi/>
              <w:ind w:left="-104" w:right="-105"/>
              <w:jc w:val="center"/>
              <w:rPr>
                <w:rFonts w:cs="Arial"/>
                <w:b/>
                <w:bCs/>
                <w:color w:val="000000"/>
                <w:sz w:val="16"/>
                <w:szCs w:val="16"/>
              </w:rPr>
            </w:pPr>
            <w:r w:rsidRPr="00BE433A">
              <w:rPr>
                <w:rFonts w:cs="Arial"/>
                <w:b/>
                <w:bCs/>
                <w:sz w:val="16"/>
                <w:szCs w:val="16"/>
                <w:rtl/>
                <w:lang w:eastAsia="ar"/>
              </w:rPr>
              <w:t>تم التحقق منها وثبت أنها تعمل بصورة مرضية</w:t>
            </w:r>
          </w:p>
        </w:tc>
      </w:tr>
      <w:tr w:rsidR="00047D63" w:rsidRPr="00C423D5" w14:paraId="68D57A88" w14:textId="77777777" w:rsidTr="00C14BAD">
        <w:trPr>
          <w:trHeight w:val="201"/>
          <w:tblHeader/>
        </w:trPr>
        <w:tc>
          <w:tcPr>
            <w:tcW w:w="99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4DF5D25E" w14:textId="77777777" w:rsidR="00047D63" w:rsidRPr="00595047" w:rsidRDefault="00047D63" w:rsidP="00C14BAD">
            <w:pPr>
              <w:bidi/>
              <w:rPr>
                <w:rFonts w:cs="Arial"/>
                <w:b/>
                <w:bCs/>
                <w:color w:val="FFFFFF"/>
              </w:rPr>
            </w:pPr>
          </w:p>
        </w:tc>
        <w:tc>
          <w:tcPr>
            <w:tcW w:w="7746" w:type="dxa"/>
            <w:gridSpan w:val="3"/>
            <w:vMerge/>
            <w:tcBorders>
              <w:top w:val="single" w:sz="4" w:space="0" w:color="auto"/>
              <w:bottom w:val="single" w:sz="4" w:space="0" w:color="auto"/>
            </w:tcBorders>
            <w:shd w:val="clear" w:color="auto" w:fill="C6D9F1" w:themeFill="text2" w:themeFillTint="33"/>
            <w:vAlign w:val="center"/>
            <w:hideMark/>
          </w:tcPr>
          <w:p w14:paraId="6A944EBE" w14:textId="77777777" w:rsidR="00047D63" w:rsidRPr="00595047" w:rsidRDefault="00047D63" w:rsidP="00C14BA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69DACC2"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9F9713B"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79CDB5"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لا</w:t>
            </w:r>
          </w:p>
        </w:tc>
      </w:tr>
      <w:tr w:rsidR="00047D63" w:rsidRPr="00C423D5" w14:paraId="3DBCA35F" w14:textId="77777777" w:rsidTr="00C14BAD">
        <w:trPr>
          <w:trHeight w:val="380"/>
        </w:trPr>
        <w:tc>
          <w:tcPr>
            <w:tcW w:w="990" w:type="dxa"/>
            <w:tcBorders>
              <w:top w:val="single" w:sz="4" w:space="0" w:color="auto"/>
              <w:left w:val="single" w:sz="4" w:space="0" w:color="auto"/>
              <w:bottom w:val="single" w:sz="4" w:space="0" w:color="auto"/>
            </w:tcBorders>
            <w:shd w:val="clear" w:color="auto" w:fill="auto"/>
            <w:noWrap/>
            <w:vAlign w:val="center"/>
          </w:tcPr>
          <w:p w14:paraId="60CAB541" w14:textId="77777777" w:rsidR="00047D63" w:rsidRPr="00595047" w:rsidRDefault="00047D63" w:rsidP="00C14BAD">
            <w:pPr>
              <w:bidi/>
            </w:pPr>
          </w:p>
        </w:tc>
        <w:tc>
          <w:tcPr>
            <w:tcW w:w="7746" w:type="dxa"/>
            <w:gridSpan w:val="3"/>
            <w:tcBorders>
              <w:top w:val="single" w:sz="4" w:space="0" w:color="auto"/>
              <w:bottom w:val="single" w:sz="4" w:space="0" w:color="auto"/>
            </w:tcBorders>
            <w:shd w:val="clear" w:color="auto" w:fill="auto"/>
            <w:vAlign w:val="center"/>
          </w:tcPr>
          <w:p w14:paraId="5B98767F" w14:textId="77777777" w:rsidR="00047D63" w:rsidRPr="00595047" w:rsidRDefault="00047D63" w:rsidP="00C14BAD">
            <w:pPr>
              <w:bidi/>
              <w:jc w:val="left"/>
              <w:rPr>
                <w:b/>
                <w:bCs/>
              </w:rPr>
            </w:pPr>
            <w:r w:rsidRPr="00595047">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0306D7F5" w14:textId="77777777" w:rsidR="00047D63" w:rsidRPr="00C423D5" w:rsidRDefault="00047D63" w:rsidP="00C14BA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897821C" w14:textId="77777777" w:rsidR="00047D63" w:rsidRPr="00C423D5" w:rsidRDefault="00047D63" w:rsidP="00C14BA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67372E" w14:textId="77777777" w:rsidR="00047D63" w:rsidRPr="00C423D5" w:rsidRDefault="00047D63" w:rsidP="00C14BAD">
            <w:pPr>
              <w:bidi/>
              <w:ind w:left="-102" w:right="-73"/>
              <w:jc w:val="center"/>
              <w:rPr>
                <w:rFonts w:cs="Arial"/>
                <w:color w:val="000000"/>
              </w:rPr>
            </w:pPr>
          </w:p>
        </w:tc>
      </w:tr>
      <w:tr w:rsidR="00047D63" w:rsidRPr="00C423D5" w14:paraId="7C468971"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hideMark/>
          </w:tcPr>
          <w:p w14:paraId="08D44E2E" w14:textId="77777777" w:rsidR="00047D63" w:rsidRPr="00C423D5" w:rsidRDefault="00047D63" w:rsidP="00C14BAD">
            <w:pPr>
              <w:bidi/>
              <w:spacing w:before="40" w:after="40"/>
              <w:jc w:val="left"/>
              <w:rPr>
                <w:rFonts w:cs="Arial"/>
                <w:sz w:val="18"/>
                <w:szCs w:val="18"/>
              </w:rPr>
            </w:pPr>
          </w:p>
        </w:tc>
        <w:tc>
          <w:tcPr>
            <w:tcW w:w="7746" w:type="dxa"/>
            <w:gridSpan w:val="3"/>
            <w:tcBorders>
              <w:top w:val="single" w:sz="4" w:space="0" w:color="auto"/>
              <w:bottom w:val="single" w:sz="4" w:space="0" w:color="auto"/>
            </w:tcBorders>
            <w:shd w:val="clear" w:color="auto" w:fill="auto"/>
            <w:vAlign w:val="center"/>
          </w:tcPr>
          <w:p w14:paraId="53C7E5F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تهدف إجراءات الطوارئ إلى تسليط الضوء على أبرز المشاكل التي قد تنشأ على مستوى الإدارة في حال تعطل الأنظمة الميكانيكية. ومن المقدّر أنّ هذه الأعطال قد تكون ناجمةً عن تعطل نظام الموقع بالكامل، لكنها قد تكون ناجمةً أيضًا عن عطلٍ محلي والذي قد يتطلب من الجهة العامة تقديم إشعار بشأنه. ويتمثل الهدف الرئيسي من هذه الإجراءات في تقديم نهج منظَّم للحفاظ على سلامة المرضى والموظفين ولتقليل المخاطر المرتبطة بالأعطال التي تصيب الأنظمة الميكانيكية.</w:t>
            </w:r>
          </w:p>
        </w:tc>
        <w:tc>
          <w:tcPr>
            <w:tcW w:w="508" w:type="dxa"/>
            <w:tcBorders>
              <w:top w:val="single" w:sz="4" w:space="0" w:color="auto"/>
              <w:bottom w:val="single" w:sz="4" w:space="0" w:color="auto"/>
            </w:tcBorders>
            <w:shd w:val="clear" w:color="auto" w:fill="C6D9F1" w:themeFill="text2" w:themeFillTint="33"/>
            <w:vAlign w:val="center"/>
          </w:tcPr>
          <w:p w14:paraId="36CD4756" w14:textId="77777777" w:rsidR="00047D63" w:rsidRPr="00C423D5" w:rsidRDefault="00047D63" w:rsidP="00C14BA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C368096" w14:textId="77777777" w:rsidR="00047D63" w:rsidRPr="00C423D5" w:rsidRDefault="00047D63" w:rsidP="00C14BA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FEC3C" w14:textId="77777777" w:rsidR="00047D63" w:rsidRPr="00C423D5" w:rsidRDefault="00047D63" w:rsidP="00C14BAD">
            <w:pPr>
              <w:bidi/>
              <w:ind w:left="-102" w:right="-73"/>
              <w:jc w:val="center"/>
              <w:rPr>
                <w:rFonts w:cs="Arial"/>
                <w:color w:val="000000"/>
              </w:rPr>
            </w:pPr>
          </w:p>
        </w:tc>
      </w:tr>
      <w:tr w:rsidR="00047D63" w:rsidRPr="00C423D5" w14:paraId="68995CC4"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3913B77A"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الأولى</w:t>
            </w:r>
          </w:p>
        </w:tc>
        <w:tc>
          <w:tcPr>
            <w:tcW w:w="7746" w:type="dxa"/>
            <w:gridSpan w:val="3"/>
            <w:tcBorders>
              <w:top w:val="single" w:sz="4" w:space="0" w:color="auto"/>
              <w:bottom w:val="single" w:sz="4" w:space="0" w:color="auto"/>
            </w:tcBorders>
            <w:shd w:val="clear" w:color="auto" w:fill="auto"/>
            <w:vAlign w:val="center"/>
          </w:tcPr>
          <w:p w14:paraId="44728DE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سلامة الأرواح (خطة الإخلاء)</w:t>
            </w:r>
          </w:p>
        </w:tc>
        <w:tc>
          <w:tcPr>
            <w:tcW w:w="508" w:type="dxa"/>
            <w:tcBorders>
              <w:top w:val="single" w:sz="4" w:space="0" w:color="auto"/>
              <w:bottom w:val="single" w:sz="4" w:space="0" w:color="auto"/>
            </w:tcBorders>
            <w:shd w:val="clear" w:color="auto" w:fill="C6D9F1" w:themeFill="text2" w:themeFillTint="33"/>
            <w:vAlign w:val="center"/>
          </w:tcPr>
          <w:p w14:paraId="79B999F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053D55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2D6C1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68506B52"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5E88A8F0"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الثانية</w:t>
            </w:r>
          </w:p>
        </w:tc>
        <w:tc>
          <w:tcPr>
            <w:tcW w:w="7746" w:type="dxa"/>
            <w:gridSpan w:val="3"/>
            <w:tcBorders>
              <w:top w:val="single" w:sz="4" w:space="0" w:color="auto"/>
              <w:bottom w:val="single" w:sz="4" w:space="0" w:color="auto"/>
            </w:tcBorders>
            <w:shd w:val="clear" w:color="auto" w:fill="auto"/>
            <w:vAlign w:val="center"/>
          </w:tcPr>
          <w:p w14:paraId="3BC5E1F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السيطرة على الحوادث </w:t>
            </w:r>
          </w:p>
        </w:tc>
        <w:tc>
          <w:tcPr>
            <w:tcW w:w="508" w:type="dxa"/>
            <w:tcBorders>
              <w:top w:val="single" w:sz="4" w:space="0" w:color="auto"/>
              <w:bottom w:val="single" w:sz="4" w:space="0" w:color="auto"/>
            </w:tcBorders>
            <w:shd w:val="clear" w:color="auto" w:fill="C6D9F1" w:themeFill="text2" w:themeFillTint="33"/>
            <w:vAlign w:val="center"/>
          </w:tcPr>
          <w:p w14:paraId="3179C3D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5A575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D638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43D15370"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70321E59"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الثالثة</w:t>
            </w:r>
          </w:p>
        </w:tc>
        <w:tc>
          <w:tcPr>
            <w:tcW w:w="7746" w:type="dxa"/>
            <w:gridSpan w:val="3"/>
            <w:tcBorders>
              <w:top w:val="single" w:sz="4" w:space="0" w:color="auto"/>
              <w:bottom w:val="single" w:sz="4" w:space="0" w:color="auto"/>
            </w:tcBorders>
            <w:shd w:val="clear" w:color="auto" w:fill="auto"/>
            <w:vAlign w:val="center"/>
          </w:tcPr>
          <w:p w14:paraId="4DC33C4F"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التخفيف من الضرر المحتمل</w:t>
            </w:r>
          </w:p>
        </w:tc>
        <w:tc>
          <w:tcPr>
            <w:tcW w:w="508" w:type="dxa"/>
            <w:tcBorders>
              <w:top w:val="single" w:sz="4" w:space="0" w:color="auto"/>
              <w:bottom w:val="single" w:sz="4" w:space="0" w:color="auto"/>
            </w:tcBorders>
            <w:shd w:val="clear" w:color="auto" w:fill="C6D9F1" w:themeFill="text2" w:themeFillTint="33"/>
            <w:vAlign w:val="center"/>
          </w:tcPr>
          <w:p w14:paraId="55ED85D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33FBC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94E81AB"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7EEB1F02"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507AD31E"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الرابعة</w:t>
            </w:r>
          </w:p>
        </w:tc>
        <w:tc>
          <w:tcPr>
            <w:tcW w:w="7746" w:type="dxa"/>
            <w:gridSpan w:val="3"/>
            <w:tcBorders>
              <w:top w:val="single" w:sz="4" w:space="0" w:color="auto"/>
              <w:bottom w:val="single" w:sz="4" w:space="0" w:color="auto"/>
            </w:tcBorders>
            <w:shd w:val="clear" w:color="auto" w:fill="auto"/>
            <w:vAlign w:val="center"/>
          </w:tcPr>
          <w:p w14:paraId="1302012A" w14:textId="0BF1AF73"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تطويق الحوادث (مثال: تسرب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4EF364E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71BD3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873D62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70DE08D7"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D117A34"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الخامسة</w:t>
            </w:r>
          </w:p>
        </w:tc>
        <w:tc>
          <w:tcPr>
            <w:tcW w:w="7746" w:type="dxa"/>
            <w:gridSpan w:val="3"/>
            <w:tcBorders>
              <w:top w:val="single" w:sz="4" w:space="0" w:color="auto"/>
              <w:bottom w:val="single" w:sz="4" w:space="0" w:color="auto"/>
            </w:tcBorders>
            <w:shd w:val="clear" w:color="auto" w:fill="auto"/>
            <w:vAlign w:val="center"/>
          </w:tcPr>
          <w:p w14:paraId="4289D4B6"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تقييم الضرر </w:t>
            </w:r>
          </w:p>
        </w:tc>
        <w:tc>
          <w:tcPr>
            <w:tcW w:w="508" w:type="dxa"/>
            <w:tcBorders>
              <w:top w:val="single" w:sz="4" w:space="0" w:color="auto"/>
              <w:bottom w:val="single" w:sz="4" w:space="0" w:color="auto"/>
            </w:tcBorders>
            <w:shd w:val="clear" w:color="auto" w:fill="C6D9F1" w:themeFill="text2" w:themeFillTint="33"/>
            <w:vAlign w:val="center"/>
          </w:tcPr>
          <w:p w14:paraId="3CB2305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F48A5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6BE93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436525BF"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1060C9B"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السادسة</w:t>
            </w:r>
          </w:p>
        </w:tc>
        <w:tc>
          <w:tcPr>
            <w:tcW w:w="7746" w:type="dxa"/>
            <w:gridSpan w:val="3"/>
            <w:tcBorders>
              <w:top w:val="single" w:sz="4" w:space="0" w:color="auto"/>
              <w:bottom w:val="single" w:sz="4" w:space="0" w:color="auto"/>
            </w:tcBorders>
            <w:shd w:val="clear" w:color="auto" w:fill="auto"/>
            <w:vAlign w:val="center"/>
          </w:tcPr>
          <w:p w14:paraId="301E4A63"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أعمال التنظيف بعد وقوع الحادث (خطط ما بعد الحوادث)</w:t>
            </w:r>
          </w:p>
        </w:tc>
        <w:tc>
          <w:tcPr>
            <w:tcW w:w="508" w:type="dxa"/>
            <w:tcBorders>
              <w:top w:val="single" w:sz="4" w:space="0" w:color="auto"/>
              <w:bottom w:val="single" w:sz="4" w:space="0" w:color="auto"/>
            </w:tcBorders>
            <w:shd w:val="clear" w:color="auto" w:fill="C6D9F1" w:themeFill="text2" w:themeFillTint="33"/>
            <w:vAlign w:val="center"/>
          </w:tcPr>
          <w:p w14:paraId="151874A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402FD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77362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110C2155"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A65F757"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السابعة</w:t>
            </w:r>
          </w:p>
        </w:tc>
        <w:tc>
          <w:tcPr>
            <w:tcW w:w="7746" w:type="dxa"/>
            <w:gridSpan w:val="3"/>
            <w:shd w:val="clear" w:color="auto" w:fill="auto"/>
          </w:tcPr>
          <w:p w14:paraId="54CE8E1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متابعة مصادر الأحوال الجوية للحصول على المستجدات المتعلقة بالتعليمات والتحذيرات المذاعة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32EA94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20F23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F917A1"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7A36C310"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9677152"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الثامنة</w:t>
            </w:r>
          </w:p>
        </w:tc>
        <w:tc>
          <w:tcPr>
            <w:tcW w:w="7746" w:type="dxa"/>
            <w:gridSpan w:val="3"/>
            <w:shd w:val="clear" w:color="auto" w:fill="auto"/>
          </w:tcPr>
          <w:p w14:paraId="30730AE7"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خطة إغلاق المبنى/خطة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4876134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CE545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86389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0E08D9D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1E62976"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w:t>
            </w:r>
          </w:p>
        </w:tc>
        <w:tc>
          <w:tcPr>
            <w:tcW w:w="7746" w:type="dxa"/>
            <w:gridSpan w:val="3"/>
            <w:tcBorders>
              <w:top w:val="single" w:sz="4" w:space="0" w:color="auto"/>
              <w:bottom w:val="single" w:sz="4" w:space="0" w:color="auto"/>
            </w:tcBorders>
            <w:shd w:val="clear" w:color="auto" w:fill="auto"/>
            <w:vAlign w:val="center"/>
          </w:tcPr>
          <w:p w14:paraId="15D15608"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إجراء تقييم أولي ومستمر للحادث</w:t>
            </w:r>
          </w:p>
        </w:tc>
        <w:tc>
          <w:tcPr>
            <w:tcW w:w="508" w:type="dxa"/>
            <w:tcBorders>
              <w:top w:val="single" w:sz="4" w:space="0" w:color="auto"/>
              <w:bottom w:val="single" w:sz="4" w:space="0" w:color="auto"/>
            </w:tcBorders>
            <w:shd w:val="clear" w:color="auto" w:fill="C6D9F1" w:themeFill="text2" w:themeFillTint="33"/>
            <w:vAlign w:val="center"/>
          </w:tcPr>
          <w:p w14:paraId="1ADE334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629B8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F5C81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3DC51B0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049ADB24"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2</w:t>
            </w:r>
          </w:p>
        </w:tc>
        <w:tc>
          <w:tcPr>
            <w:tcW w:w="7746" w:type="dxa"/>
            <w:gridSpan w:val="3"/>
            <w:tcBorders>
              <w:top w:val="single" w:sz="4" w:space="0" w:color="auto"/>
              <w:bottom w:val="single" w:sz="4" w:space="0" w:color="auto"/>
            </w:tcBorders>
            <w:shd w:val="clear" w:color="auto" w:fill="auto"/>
            <w:vAlign w:val="center"/>
          </w:tcPr>
          <w:p w14:paraId="43D59E1D"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751F948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92D32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BAF7E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7B706BF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DA9D725"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3</w:t>
            </w:r>
          </w:p>
        </w:tc>
        <w:tc>
          <w:tcPr>
            <w:tcW w:w="7746" w:type="dxa"/>
            <w:gridSpan w:val="3"/>
            <w:tcBorders>
              <w:top w:val="single" w:sz="4" w:space="0" w:color="auto"/>
              <w:bottom w:val="single" w:sz="4" w:space="0" w:color="auto"/>
            </w:tcBorders>
            <w:shd w:val="clear" w:color="auto" w:fill="auto"/>
            <w:vAlign w:val="center"/>
          </w:tcPr>
          <w:p w14:paraId="07AF81DC"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توزيع الموارد المتاحة وطلب موارد إضافية بناءً على متطلبات الحادث</w:t>
            </w:r>
          </w:p>
        </w:tc>
        <w:tc>
          <w:tcPr>
            <w:tcW w:w="508" w:type="dxa"/>
            <w:tcBorders>
              <w:top w:val="single" w:sz="4" w:space="0" w:color="auto"/>
              <w:bottom w:val="single" w:sz="4" w:space="0" w:color="auto"/>
            </w:tcBorders>
            <w:shd w:val="clear" w:color="auto" w:fill="C6D9F1" w:themeFill="text2" w:themeFillTint="33"/>
            <w:vAlign w:val="center"/>
          </w:tcPr>
          <w:p w14:paraId="7315791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9D41D1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6D916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21E6448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2EAE8A1"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4</w:t>
            </w:r>
          </w:p>
        </w:tc>
        <w:tc>
          <w:tcPr>
            <w:tcW w:w="7746" w:type="dxa"/>
            <w:gridSpan w:val="3"/>
            <w:tcBorders>
              <w:top w:val="single" w:sz="4" w:space="0" w:color="auto"/>
              <w:bottom w:val="single" w:sz="4" w:space="0" w:color="auto"/>
            </w:tcBorders>
            <w:shd w:val="clear" w:color="auto" w:fill="auto"/>
            <w:vAlign w:val="center"/>
          </w:tcPr>
          <w:p w14:paraId="28EB32BE"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إعداد هيكل تنظيمي خاص لإدارة الحادث</w:t>
            </w:r>
          </w:p>
        </w:tc>
        <w:tc>
          <w:tcPr>
            <w:tcW w:w="508" w:type="dxa"/>
            <w:tcBorders>
              <w:top w:val="single" w:sz="4" w:space="0" w:color="auto"/>
              <w:bottom w:val="single" w:sz="4" w:space="0" w:color="auto"/>
            </w:tcBorders>
            <w:shd w:val="clear" w:color="auto" w:fill="C6D9F1" w:themeFill="text2" w:themeFillTint="33"/>
            <w:vAlign w:val="center"/>
          </w:tcPr>
          <w:p w14:paraId="62067D1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F99B9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D1FD1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0941C9E3"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9DFB03C"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5</w:t>
            </w:r>
          </w:p>
        </w:tc>
        <w:tc>
          <w:tcPr>
            <w:tcW w:w="7746" w:type="dxa"/>
            <w:gridSpan w:val="3"/>
            <w:tcBorders>
              <w:top w:val="single" w:sz="4" w:space="0" w:color="auto"/>
              <w:bottom w:val="single" w:sz="4" w:space="0" w:color="auto"/>
            </w:tcBorders>
            <w:shd w:val="clear" w:color="auto" w:fill="auto"/>
            <w:vAlign w:val="center"/>
          </w:tcPr>
          <w:p w14:paraId="3578A253"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مراجعة وتقييم وتعديل الاستراتيجيات والأساليب بناءً على متطلبات الحادث</w:t>
            </w:r>
          </w:p>
        </w:tc>
        <w:tc>
          <w:tcPr>
            <w:tcW w:w="508" w:type="dxa"/>
            <w:tcBorders>
              <w:top w:val="single" w:sz="4" w:space="0" w:color="auto"/>
              <w:bottom w:val="single" w:sz="4" w:space="0" w:color="auto"/>
            </w:tcBorders>
            <w:shd w:val="clear" w:color="auto" w:fill="C6D9F1" w:themeFill="text2" w:themeFillTint="33"/>
            <w:vAlign w:val="center"/>
          </w:tcPr>
          <w:p w14:paraId="6FF80A4A"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9AFA54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6574E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2875DAB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3BEABD65"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6</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7709171"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على الشخص المسؤول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74886AB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7330C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22CF41"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46ACEF1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C5459C0"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7</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5B03E839"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يجب أن يتضمن النظام عملية تصعيد روتينية في حال استخدام موارد إضافية</w:t>
            </w:r>
          </w:p>
        </w:tc>
        <w:tc>
          <w:tcPr>
            <w:tcW w:w="508" w:type="dxa"/>
            <w:tcBorders>
              <w:top w:val="single" w:sz="4" w:space="0" w:color="auto"/>
              <w:bottom w:val="single" w:sz="4" w:space="0" w:color="auto"/>
            </w:tcBorders>
            <w:shd w:val="clear" w:color="auto" w:fill="C6D9F1" w:themeFill="text2" w:themeFillTint="33"/>
            <w:vAlign w:val="center"/>
          </w:tcPr>
          <w:p w14:paraId="3FF0CB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3C9D27A"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9C491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58FD93C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735D293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8</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5803C181"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تحديد مستويات وعناصر نظام إدارة الحادث التي سيتم اعتمادها في كل حالة، كما يتولى مسؤولية إعداد هيكل قيادة لكل حادث من خلال إسناد المسؤوليات الإشرافية وفقًا لإجراءات التشغيل الموحدة</w:t>
            </w:r>
          </w:p>
        </w:tc>
        <w:tc>
          <w:tcPr>
            <w:tcW w:w="508" w:type="dxa"/>
            <w:tcBorders>
              <w:top w:val="single" w:sz="4" w:space="0" w:color="auto"/>
              <w:bottom w:val="single" w:sz="4" w:space="0" w:color="auto"/>
            </w:tcBorders>
            <w:shd w:val="clear" w:color="auto" w:fill="C6D9F1" w:themeFill="text2" w:themeFillTint="33"/>
            <w:vAlign w:val="center"/>
          </w:tcPr>
          <w:p w14:paraId="2323627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85E2C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E589FF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6A5265FB"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31A48D4"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9</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7268AE33"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تحدد خطة إدارة الحوادث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34EFDBC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0CF47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05030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18128EA5"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761F35B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10</w:t>
            </w:r>
          </w:p>
        </w:tc>
        <w:tc>
          <w:tcPr>
            <w:tcW w:w="7746" w:type="dxa"/>
            <w:gridSpan w:val="3"/>
            <w:tcBorders>
              <w:top w:val="single" w:sz="4" w:space="0" w:color="auto"/>
              <w:bottom w:val="single" w:sz="4" w:space="0" w:color="auto"/>
            </w:tcBorders>
            <w:shd w:val="clear" w:color="auto" w:fill="auto"/>
            <w:vAlign w:val="center"/>
          </w:tcPr>
          <w:p w14:paraId="265D4830"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التحكم في الاتصالات المتعلقة بالأساليب والقيادة وقنوات المرور الطارئة المخصصة للحادث</w:t>
            </w:r>
          </w:p>
        </w:tc>
        <w:tc>
          <w:tcPr>
            <w:tcW w:w="508" w:type="dxa"/>
            <w:tcBorders>
              <w:top w:val="single" w:sz="4" w:space="0" w:color="auto"/>
              <w:bottom w:val="single" w:sz="4" w:space="0" w:color="auto"/>
            </w:tcBorders>
            <w:shd w:val="clear" w:color="auto" w:fill="C6D9F1" w:themeFill="text2" w:themeFillTint="33"/>
            <w:vAlign w:val="center"/>
          </w:tcPr>
          <w:p w14:paraId="63A719A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FE8B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DEC40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2DDE5BC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AF70478"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11</w:t>
            </w:r>
          </w:p>
        </w:tc>
        <w:tc>
          <w:tcPr>
            <w:tcW w:w="7746" w:type="dxa"/>
            <w:gridSpan w:val="3"/>
            <w:tcBorders>
              <w:top w:val="single" w:sz="4" w:space="0" w:color="auto"/>
              <w:bottom w:val="single" w:sz="4" w:space="0" w:color="auto"/>
            </w:tcBorders>
            <w:shd w:val="clear" w:color="auto" w:fill="auto"/>
            <w:vAlign w:val="center"/>
          </w:tcPr>
          <w:p w14:paraId="11732FBC"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المساءلة الشاملة للاستجابة لوقوع الحادث</w:t>
            </w:r>
          </w:p>
        </w:tc>
        <w:tc>
          <w:tcPr>
            <w:tcW w:w="508" w:type="dxa"/>
            <w:tcBorders>
              <w:top w:val="single" w:sz="4" w:space="0" w:color="auto"/>
              <w:bottom w:val="single" w:sz="4" w:space="0" w:color="auto"/>
            </w:tcBorders>
            <w:shd w:val="clear" w:color="auto" w:fill="C6D9F1" w:themeFill="text2" w:themeFillTint="33"/>
            <w:vAlign w:val="center"/>
          </w:tcPr>
          <w:p w14:paraId="0AFB055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B09478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09ED3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60BC8542"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672CFD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12</w:t>
            </w:r>
          </w:p>
        </w:tc>
        <w:tc>
          <w:tcPr>
            <w:tcW w:w="7746" w:type="dxa"/>
            <w:gridSpan w:val="3"/>
            <w:tcBorders>
              <w:top w:val="single" w:sz="4" w:space="0" w:color="auto"/>
              <w:bottom w:val="single" w:sz="4" w:space="0" w:color="auto"/>
            </w:tcBorders>
            <w:shd w:val="clear" w:color="auto" w:fill="auto"/>
            <w:vAlign w:val="center"/>
          </w:tcPr>
          <w:p w14:paraId="3D9CEF1B"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وضع و/أو الموافقة على خطة عمل التعامل مع الحوادث</w:t>
            </w:r>
          </w:p>
        </w:tc>
        <w:tc>
          <w:tcPr>
            <w:tcW w:w="508" w:type="dxa"/>
            <w:tcBorders>
              <w:top w:val="single" w:sz="4" w:space="0" w:color="auto"/>
              <w:bottom w:val="single" w:sz="4" w:space="0" w:color="auto"/>
            </w:tcBorders>
            <w:shd w:val="clear" w:color="auto" w:fill="C6D9F1" w:themeFill="text2" w:themeFillTint="33"/>
            <w:vAlign w:val="center"/>
          </w:tcPr>
          <w:p w14:paraId="488DC3E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A0B69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8920D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120166D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3B511513"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13</w:t>
            </w:r>
          </w:p>
        </w:tc>
        <w:tc>
          <w:tcPr>
            <w:tcW w:w="7746" w:type="dxa"/>
            <w:gridSpan w:val="3"/>
            <w:tcBorders>
              <w:top w:val="single" w:sz="4" w:space="0" w:color="auto"/>
              <w:bottom w:val="single" w:sz="4" w:space="0" w:color="auto"/>
            </w:tcBorders>
            <w:shd w:val="clear" w:color="auto" w:fill="auto"/>
            <w:vAlign w:val="center"/>
          </w:tcPr>
          <w:p w14:paraId="30A23ED6"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إبقاء مسؤول السلامة على اطّلاع بالخطط الاستراتيجية والتكتيكية وأي تغيير في الظروف القائمة</w:t>
            </w:r>
          </w:p>
        </w:tc>
        <w:tc>
          <w:tcPr>
            <w:tcW w:w="508" w:type="dxa"/>
            <w:tcBorders>
              <w:top w:val="single" w:sz="4" w:space="0" w:color="auto"/>
              <w:bottom w:val="single" w:sz="4" w:space="0" w:color="auto"/>
            </w:tcBorders>
            <w:shd w:val="clear" w:color="auto" w:fill="C6D9F1" w:themeFill="text2" w:themeFillTint="33"/>
            <w:vAlign w:val="center"/>
          </w:tcPr>
          <w:p w14:paraId="5B5175C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202B8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033E5B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368EFD0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AD41901"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14</w:t>
            </w:r>
          </w:p>
        </w:tc>
        <w:tc>
          <w:tcPr>
            <w:tcW w:w="7746" w:type="dxa"/>
            <w:gridSpan w:val="3"/>
            <w:tcBorders>
              <w:top w:val="single" w:sz="4" w:space="0" w:color="auto"/>
              <w:bottom w:val="single" w:sz="4" w:space="0" w:color="auto"/>
            </w:tcBorders>
            <w:shd w:val="clear" w:color="auto" w:fill="auto"/>
            <w:vAlign w:val="center"/>
          </w:tcPr>
          <w:p w14:paraId="15D02AB6"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تقييم المخاطر التي يتعرض لها المستجيبون للحادث فيما يتعلق بالغرض من أفعالهم والنتائج المحتملة لهذه الأفعال في كل حالة</w:t>
            </w:r>
          </w:p>
        </w:tc>
        <w:tc>
          <w:tcPr>
            <w:tcW w:w="508" w:type="dxa"/>
            <w:tcBorders>
              <w:top w:val="single" w:sz="4" w:space="0" w:color="auto"/>
              <w:bottom w:val="single" w:sz="4" w:space="0" w:color="auto"/>
            </w:tcBorders>
            <w:shd w:val="clear" w:color="auto" w:fill="C6D9F1" w:themeFill="text2" w:themeFillTint="33"/>
            <w:vAlign w:val="center"/>
          </w:tcPr>
          <w:p w14:paraId="6E03387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994D5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0382FC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73D16">
              <w:rPr>
                <w:rFonts w:cs="Arial"/>
                <w:color w:val="000000"/>
                <w:rtl/>
                <w:lang w:eastAsia="ar"/>
              </w:rPr>
            </w:r>
            <w:r w:rsidR="00873D16">
              <w:rPr>
                <w:rFonts w:cs="Arial"/>
                <w:color w:val="000000"/>
                <w:rtl/>
                <w:lang w:eastAsia="ar"/>
              </w:rPr>
              <w:fldChar w:fldCharType="separate"/>
            </w:r>
            <w:r w:rsidRPr="00C423D5">
              <w:rPr>
                <w:rFonts w:cs="Arial"/>
                <w:color w:val="000000"/>
                <w:rtl/>
                <w:lang w:eastAsia="ar"/>
              </w:rPr>
              <w:fldChar w:fldCharType="end"/>
            </w:r>
          </w:p>
        </w:tc>
      </w:tr>
      <w:tr w:rsidR="00047D63" w:rsidRPr="00C423D5" w14:paraId="1959A7B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68EC872"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15</w:t>
            </w:r>
          </w:p>
        </w:tc>
        <w:tc>
          <w:tcPr>
            <w:tcW w:w="7746" w:type="dxa"/>
            <w:gridSpan w:val="3"/>
            <w:tcBorders>
              <w:top w:val="single" w:sz="4" w:space="0" w:color="auto"/>
              <w:bottom w:val="single" w:sz="4" w:space="0" w:color="auto"/>
            </w:tcBorders>
            <w:shd w:val="clear" w:color="auto" w:fill="auto"/>
            <w:vAlign w:val="center"/>
          </w:tcPr>
          <w:p w14:paraId="4EAC866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يجب أن يوفر نظام الاتصالات أسلوبًا موحدًا لمنح الأولوية لإرسال الرسائل الطارئة والإشعارات عن الأخطار الوشيكة وتقديمها على الاتصالات الروتينية وذلك على جميع المستويات في هيكل قيادة الحادث</w:t>
            </w:r>
          </w:p>
        </w:tc>
        <w:tc>
          <w:tcPr>
            <w:tcW w:w="508" w:type="dxa"/>
            <w:tcBorders>
              <w:top w:val="single" w:sz="4" w:space="0" w:color="auto"/>
              <w:bottom w:val="single" w:sz="4" w:space="0" w:color="auto"/>
            </w:tcBorders>
            <w:shd w:val="clear" w:color="auto" w:fill="C6D9F1" w:themeFill="text2" w:themeFillTint="33"/>
            <w:vAlign w:val="center"/>
          </w:tcPr>
          <w:p w14:paraId="4BACA76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99E3A8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377A4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676CD1D"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F84EA3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16</w:t>
            </w:r>
          </w:p>
        </w:tc>
        <w:tc>
          <w:tcPr>
            <w:tcW w:w="7746" w:type="dxa"/>
            <w:gridSpan w:val="3"/>
            <w:tcBorders>
              <w:top w:val="single" w:sz="4" w:space="0" w:color="auto"/>
              <w:bottom w:val="single" w:sz="4" w:space="0" w:color="auto"/>
            </w:tcBorders>
            <w:shd w:val="clear" w:color="auto" w:fill="auto"/>
            <w:vAlign w:val="center"/>
          </w:tcPr>
          <w:p w14:paraId="491ABAD7" w14:textId="07752E97" w:rsidR="00047D63" w:rsidRPr="00CA0A97" w:rsidRDefault="00047D63" w:rsidP="00592B34">
            <w:pPr>
              <w:bidi/>
              <w:spacing w:before="40" w:after="40"/>
              <w:rPr>
                <w:rFonts w:cs="Arial"/>
                <w:sz w:val="18"/>
                <w:szCs w:val="24"/>
                <w:lang w:val="x-none"/>
              </w:rPr>
            </w:pPr>
            <w:r w:rsidRPr="00CA0A97">
              <w:rPr>
                <w:rFonts w:cs="Arial"/>
                <w:sz w:val="18"/>
                <w:szCs w:val="18"/>
                <w:rtl/>
                <w:lang w:eastAsia="ar"/>
              </w:rPr>
              <w:t>خطة عمل التعامل مع الحوادث: يمكن أن تكون خطة عمل التعامل مع الحوادث شفهي</w:t>
            </w:r>
            <w:r w:rsidR="00592B34">
              <w:rPr>
                <w:rFonts w:cs="Arial" w:hint="cs"/>
                <w:sz w:val="18"/>
                <w:szCs w:val="18"/>
                <w:rtl/>
                <w:lang w:eastAsia="ar"/>
              </w:rPr>
              <w:t>ة</w:t>
            </w:r>
            <w:r w:rsidRPr="00CA0A97">
              <w:rPr>
                <w:rFonts w:cs="Arial"/>
                <w:sz w:val="18"/>
                <w:szCs w:val="18"/>
                <w:rtl/>
                <w:lang w:eastAsia="ar"/>
              </w:rPr>
              <w:t xml:space="preserve"> أو ورقة عمل</w:t>
            </w:r>
            <w:r w:rsidR="00592B34">
              <w:rPr>
                <w:rFonts w:cs="Arial" w:hint="cs"/>
                <w:sz w:val="18"/>
                <w:szCs w:val="18"/>
                <w:rtl/>
                <w:lang w:eastAsia="ar"/>
              </w:rPr>
              <w:t xml:space="preserve"> تخطيطية</w:t>
            </w:r>
            <w:r w:rsidRPr="00CA0A97">
              <w:rPr>
                <w:rFonts w:cs="Arial"/>
                <w:sz w:val="18"/>
                <w:szCs w:val="18"/>
                <w:rtl/>
                <w:lang w:eastAsia="ar"/>
              </w:rPr>
              <w:t xml:space="preserve"> أو بشكل كتابي أو مزيج ممّا ذُكر سابقًا، وهي تُبيّن الاستراتيجية الشاملة للتعامل مع الحادث والأساليب وإدارة المخاطر وسلامة الأفراد، ويضعها قائد إدارة الحوادث</w:t>
            </w:r>
          </w:p>
        </w:tc>
        <w:tc>
          <w:tcPr>
            <w:tcW w:w="508" w:type="dxa"/>
            <w:tcBorders>
              <w:top w:val="single" w:sz="4" w:space="0" w:color="auto"/>
              <w:bottom w:val="single" w:sz="4" w:space="0" w:color="auto"/>
            </w:tcBorders>
            <w:shd w:val="clear" w:color="auto" w:fill="C6D9F1" w:themeFill="text2" w:themeFillTint="33"/>
            <w:vAlign w:val="center"/>
          </w:tcPr>
          <w:p w14:paraId="217EA90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327C3C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8F107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11DACC10" w14:textId="77777777" w:rsidTr="00C14BAD">
        <w:trPr>
          <w:trHeight w:val="350"/>
        </w:trPr>
        <w:tc>
          <w:tcPr>
            <w:tcW w:w="990" w:type="dxa"/>
            <w:tcBorders>
              <w:top w:val="single" w:sz="4" w:space="0" w:color="auto"/>
              <w:left w:val="single" w:sz="4" w:space="0" w:color="auto"/>
              <w:bottom w:val="single" w:sz="4" w:space="0" w:color="auto"/>
            </w:tcBorders>
            <w:shd w:val="clear" w:color="auto" w:fill="auto"/>
            <w:noWrap/>
            <w:vAlign w:val="center"/>
          </w:tcPr>
          <w:p w14:paraId="56A7BA5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17</w:t>
            </w:r>
          </w:p>
        </w:tc>
        <w:tc>
          <w:tcPr>
            <w:tcW w:w="7746" w:type="dxa"/>
            <w:gridSpan w:val="3"/>
            <w:tcBorders>
              <w:top w:val="single" w:sz="4" w:space="0" w:color="auto"/>
              <w:bottom w:val="single" w:sz="4" w:space="0" w:color="auto"/>
            </w:tcBorders>
            <w:shd w:val="clear" w:color="auto" w:fill="auto"/>
            <w:vAlign w:val="center"/>
          </w:tcPr>
          <w:p w14:paraId="7BA539AE"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مركز إدارة العمليات: يمكن لمركز إدارة العمليات تيسير طلبات المساعدة المتبادلة، وتقديم المساعدة فيما يتعلق بطلبات التوظيف وغيرها من المسائل الأخرى التي تعنى بها الجهة مثل استدعاء الموظفين وتوظيف الموارد</w:t>
            </w:r>
          </w:p>
        </w:tc>
        <w:tc>
          <w:tcPr>
            <w:tcW w:w="508" w:type="dxa"/>
            <w:tcBorders>
              <w:top w:val="single" w:sz="4" w:space="0" w:color="auto"/>
              <w:bottom w:val="single" w:sz="4" w:space="0" w:color="auto"/>
            </w:tcBorders>
            <w:shd w:val="clear" w:color="auto" w:fill="C6D9F1" w:themeFill="text2" w:themeFillTint="33"/>
            <w:vAlign w:val="center"/>
          </w:tcPr>
          <w:p w14:paraId="0CA2B56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153D1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D5F9B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C91B59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1D333B8"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lastRenderedPageBreak/>
              <w:t>18</w:t>
            </w:r>
          </w:p>
        </w:tc>
        <w:tc>
          <w:tcPr>
            <w:tcW w:w="7746" w:type="dxa"/>
            <w:gridSpan w:val="3"/>
            <w:tcBorders>
              <w:top w:val="single" w:sz="4" w:space="0" w:color="auto"/>
              <w:bottom w:val="single" w:sz="4" w:space="0" w:color="auto"/>
            </w:tcBorders>
            <w:shd w:val="clear" w:color="auto" w:fill="auto"/>
            <w:vAlign w:val="center"/>
          </w:tcPr>
          <w:p w14:paraId="6E73CC4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توفير متطلبات الدعم لنظام قيادة الحوادث في الموقع، مثل:</w:t>
            </w:r>
          </w:p>
          <w:p w14:paraId="6B70564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4FAA81C9"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 موارد إضافية من مصادر جديدة</w:t>
            </w:r>
          </w:p>
          <w:p w14:paraId="5B41EB7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(ج) وحدات الدعم الطارئ اللازمة لدعم الاستجابة للحادث (الحوادث)</w:t>
            </w:r>
          </w:p>
        </w:tc>
        <w:tc>
          <w:tcPr>
            <w:tcW w:w="508" w:type="dxa"/>
            <w:tcBorders>
              <w:top w:val="single" w:sz="4" w:space="0" w:color="auto"/>
              <w:bottom w:val="single" w:sz="4" w:space="0" w:color="auto"/>
            </w:tcBorders>
            <w:shd w:val="clear" w:color="auto" w:fill="C6D9F1" w:themeFill="text2" w:themeFillTint="33"/>
            <w:vAlign w:val="center"/>
          </w:tcPr>
          <w:p w14:paraId="0AF2055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C4032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B8834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E2D68C0"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CEFDDB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19</w:t>
            </w:r>
          </w:p>
        </w:tc>
        <w:tc>
          <w:tcPr>
            <w:tcW w:w="7746" w:type="dxa"/>
            <w:gridSpan w:val="3"/>
            <w:tcBorders>
              <w:top w:val="single" w:sz="4" w:space="0" w:color="auto"/>
              <w:bottom w:val="single" w:sz="4" w:space="0" w:color="auto"/>
            </w:tcBorders>
            <w:shd w:val="clear" w:color="auto" w:fill="auto"/>
            <w:vAlign w:val="center"/>
          </w:tcPr>
          <w:p w14:paraId="791A4F8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الوقت المتوقع المطلوب للسيطرة على الوضع حيث يؤثر ذلك على المتطلبات اللوجستية لما يلي:</w:t>
            </w:r>
          </w:p>
          <w:p w14:paraId="016922BF" w14:textId="6742E254" w:rsidR="00047D63" w:rsidRPr="00CA0A97" w:rsidRDefault="00047D63" w:rsidP="00C14BAD">
            <w:pPr>
              <w:bidi/>
              <w:spacing w:before="40" w:after="40"/>
              <w:rPr>
                <w:rFonts w:cs="Arial"/>
                <w:sz w:val="18"/>
                <w:szCs w:val="24"/>
                <w:lang w:val="x-none"/>
              </w:rPr>
            </w:pPr>
            <w:r w:rsidRPr="00CA0A97">
              <w:rPr>
                <w:rFonts w:cs="Arial"/>
                <w:sz w:val="18"/>
                <w:szCs w:val="18"/>
                <w:rtl/>
                <w:lang w:eastAsia="ar"/>
              </w:rPr>
              <w:t>(أ) موظفي الإغاثة</w:t>
            </w:r>
          </w:p>
          <w:p w14:paraId="396697E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 الغذاء</w:t>
            </w:r>
          </w:p>
          <w:p w14:paraId="2FDD902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(ج) المساكن</w:t>
            </w:r>
          </w:p>
          <w:p w14:paraId="61F0A978"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(د) الوقود والإصلاحات</w:t>
            </w:r>
          </w:p>
          <w:p w14:paraId="68A2575A" w14:textId="20975CF8" w:rsidR="00047D63" w:rsidRPr="00CA0A97" w:rsidRDefault="00047D63" w:rsidP="00592B34">
            <w:pPr>
              <w:bidi/>
              <w:spacing w:before="40" w:after="40"/>
              <w:rPr>
                <w:rFonts w:cs="Arial"/>
                <w:sz w:val="18"/>
                <w:szCs w:val="24"/>
                <w:lang w:val="x-none"/>
              </w:rPr>
            </w:pPr>
            <w:r w:rsidRPr="00CA0A97">
              <w:rPr>
                <w:rFonts w:cs="Arial"/>
                <w:sz w:val="18"/>
                <w:szCs w:val="18"/>
                <w:rtl/>
                <w:lang w:eastAsia="ar"/>
              </w:rPr>
              <w:t xml:space="preserve">(هـ) التدخل الواسع </w:t>
            </w:r>
            <w:r w:rsidR="00592B34">
              <w:rPr>
                <w:rFonts w:cs="Arial" w:hint="cs"/>
                <w:sz w:val="18"/>
                <w:szCs w:val="18"/>
                <w:rtl/>
                <w:lang w:eastAsia="ar"/>
              </w:rPr>
              <w:t>للعديد من الجهات</w:t>
            </w:r>
          </w:p>
        </w:tc>
        <w:tc>
          <w:tcPr>
            <w:tcW w:w="508" w:type="dxa"/>
            <w:tcBorders>
              <w:top w:val="single" w:sz="4" w:space="0" w:color="auto"/>
              <w:bottom w:val="single" w:sz="4" w:space="0" w:color="auto"/>
            </w:tcBorders>
            <w:shd w:val="clear" w:color="auto" w:fill="C6D9F1" w:themeFill="text2" w:themeFillTint="33"/>
            <w:vAlign w:val="center"/>
          </w:tcPr>
          <w:p w14:paraId="36FE141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550AD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D0608"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35F16A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6F1873BA"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20</w:t>
            </w:r>
          </w:p>
        </w:tc>
        <w:tc>
          <w:tcPr>
            <w:tcW w:w="7746" w:type="dxa"/>
            <w:gridSpan w:val="3"/>
            <w:tcBorders>
              <w:top w:val="single" w:sz="4" w:space="0" w:color="auto"/>
              <w:bottom w:val="single" w:sz="4" w:space="0" w:color="auto"/>
            </w:tcBorders>
            <w:shd w:val="clear" w:color="auto" w:fill="auto"/>
            <w:vAlign w:val="center"/>
          </w:tcPr>
          <w:p w14:paraId="181C889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الإلمام الشامل بقدرات الجهاز أو السلطة المعنية والقيود لاتخاذ القرارات للجهاز أو السلطة المعنية بما في ذلك الأمر بتوزيع الموارد</w:t>
            </w:r>
          </w:p>
        </w:tc>
        <w:tc>
          <w:tcPr>
            <w:tcW w:w="508" w:type="dxa"/>
            <w:tcBorders>
              <w:top w:val="single" w:sz="4" w:space="0" w:color="auto"/>
              <w:bottom w:val="single" w:sz="4" w:space="0" w:color="auto"/>
            </w:tcBorders>
            <w:shd w:val="clear" w:color="auto" w:fill="C6D9F1" w:themeFill="text2" w:themeFillTint="33"/>
            <w:vAlign w:val="center"/>
          </w:tcPr>
          <w:p w14:paraId="19B05FB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E54FA6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D16EBC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AB2F07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61F46F0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21</w:t>
            </w:r>
          </w:p>
        </w:tc>
        <w:tc>
          <w:tcPr>
            <w:tcW w:w="7746" w:type="dxa"/>
            <w:gridSpan w:val="3"/>
            <w:tcBorders>
              <w:top w:val="single" w:sz="4" w:space="0" w:color="auto"/>
              <w:bottom w:val="single" w:sz="4" w:space="0" w:color="auto"/>
            </w:tcBorders>
            <w:shd w:val="clear" w:color="auto" w:fill="auto"/>
            <w:vAlign w:val="center"/>
          </w:tcPr>
          <w:p w14:paraId="7953B35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تتولى قيادة المنطقة تحديد الأولويات الخاصة بالحوادث وتخصيص الموارد الأساسية وفقًا للأولويات التي حددها مسؤول الجهاز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1B13BDA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5EF67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234FA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CAB100B"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FCD4F"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22</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445DD"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إبلاغ كبار موظفي الإدارات المتأثرة بالتوقف عن استخدام 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A68F3F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6546C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58B1D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D138B4F"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63C5"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23</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67340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التواصل مع هيئة المياه المحلية، حيث قد يكون سبب التلوث هو إمدادات المياه الواردة الأساسية، وبالتالي قد تكون هناك احتمالية للالتزام بعدم تلويث شبكة المياه العامة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04340D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F1A50B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975E9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7BCE9DD3"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43D19"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24</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38DB6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أخذ عينات عند الضرورة لتحديد طبيعة التلوث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5E45A06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28ADF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3A7EA27"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6C1E913D"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9A8AE"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25</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18ECF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عزل المنطقة المتأثرة عن الإمداد الرئيسي لمنع ازدياد التلوث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347535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255E10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A716B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796CDA8"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6C49F"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26</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2048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بناءً على طبيعة التلوث، قد يصبح سببه واضحًا أو يسهل تحديد موقعه. وإن لم يكن ذلك ممكنًا، يجب القيام بتحقيق منهجي حول أنظمة الإمداد بالمياه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B94266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301B5"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B55BFD"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7106927D"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F5C6A38"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27</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0763A51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في حال تحديد أسباب التلوث، يجب عزل مصدر التلوث وتنفيذ الأعمال الضرورية لمعالجة الوضع</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4C00B9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88685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184B1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A45DEE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42EC86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28</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1CA44E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إبلاغ الطاقم الطبي بطبيعة التلوث وانتظار تلقي المشورة حول التأثير السريري قبل استعادة إمداد المنطقة بالمياه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7C2EC1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E8572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B64EF87"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27BE3AEF"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584AA4B"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29</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0D85D471"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التنظيف بالمياه لجميع أنظمة الأنابيب (الصنابير، مياه تنظيف المراحيض، أحواض المرحاض..إلخ) إلى أن يُظهر التحليل القادم عدم وجود أثر للتلوث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233BAA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8D97E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A3C75"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0C6328CB"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7E7A1EA"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30</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1C3B659A"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عندما تتم استعادة جودة المياه ويتم تأكيد ذلك من الطاقم الطبي أو الميكروبيولوجي، يمكن عندها السماح باستئناف الاستخدام الاعتيادي</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DB5856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CAE28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6164C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04676FA9"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3209DB5"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31</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254EF7CE"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مراجعة الإجراءات التشغيلية للحادث وتعديلها في حال الضرورة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185658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5943DF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19EB5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EDF924C"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0F33593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32</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FF1B2D9"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تسجيل الملاحظات المتعلقة بتاريخ ووقت وقوع الحادث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66706F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82632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21D47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0954AA0"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71FC3DA1"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33</w:t>
            </w:r>
          </w:p>
        </w:tc>
        <w:tc>
          <w:tcPr>
            <w:tcW w:w="7746" w:type="dxa"/>
            <w:gridSpan w:val="3"/>
            <w:tcBorders>
              <w:top w:val="single" w:sz="4" w:space="0" w:color="auto"/>
              <w:bottom w:val="single" w:sz="4" w:space="0" w:color="auto"/>
            </w:tcBorders>
            <w:shd w:val="clear" w:color="auto" w:fill="auto"/>
            <w:vAlign w:val="center"/>
          </w:tcPr>
          <w:p w14:paraId="74D54963" w14:textId="77777777" w:rsidR="00047D63" w:rsidRPr="00930265" w:rsidRDefault="00047D63" w:rsidP="00C14BAD">
            <w:pPr>
              <w:pStyle w:val="ListParagraph"/>
              <w:numPr>
                <w:ilvl w:val="0"/>
                <w:numId w:val="12"/>
              </w:numPr>
              <w:bidi/>
              <w:spacing w:before="40" w:after="40"/>
              <w:rPr>
                <w:rFonts w:cs="Arial"/>
                <w:sz w:val="18"/>
                <w:szCs w:val="24"/>
              </w:rPr>
            </w:pPr>
            <w:r w:rsidRPr="00930265">
              <w:rPr>
                <w:rFonts w:cs="Arial"/>
                <w:sz w:val="18"/>
                <w:szCs w:val="18"/>
                <w:rtl/>
                <w:lang w:eastAsia="ar"/>
              </w:rPr>
              <w:t>عرض خطط إخلاء طوابق المبنى بشكل واضح في جميع الطوابق</w:t>
            </w:r>
          </w:p>
          <w:p w14:paraId="356D5D91"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عرض مخطط شامل للموقع، بما في ذلك تفاصيل الوصول إلى النقطة الشمالية وأرقام الطوارئ</w:t>
            </w:r>
          </w:p>
          <w:p w14:paraId="3FAB4E3B"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عرض النسخة الحالية من البيان السنوي حول السلامة من الحرائق</w:t>
            </w:r>
          </w:p>
          <w:p w14:paraId="29E4FD02"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إمكانية الاطّلاع بسهولة على سجلات الصيانة الخاصة بالتدابير الأساسية للسلامة من الحرائق</w:t>
            </w:r>
          </w:p>
          <w:p w14:paraId="50CB0BD2"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مراعاة الحاجة إلى مرفق تدريبي للاستجابة الأولية للحرائق للتمرن على إجراءات عملية الإخلاء</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89145D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30243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E9274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73D16">
              <w:rPr>
                <w:rFonts w:cs="Arial"/>
                <w:color w:val="000000"/>
                <w:sz w:val="16"/>
                <w:szCs w:val="16"/>
                <w:rtl/>
                <w:lang w:eastAsia="ar"/>
              </w:rPr>
            </w:r>
            <w:r w:rsidR="00873D1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92604B9" w14:textId="77777777" w:rsidTr="00C14BAD">
        <w:trPr>
          <w:trHeight w:val="105"/>
        </w:trPr>
        <w:tc>
          <w:tcPr>
            <w:tcW w:w="990" w:type="dxa"/>
            <w:tcBorders>
              <w:top w:val="single" w:sz="4" w:space="0" w:color="auto"/>
              <w:left w:val="single" w:sz="4" w:space="0" w:color="auto"/>
              <w:bottom w:val="single" w:sz="4" w:space="0" w:color="auto"/>
            </w:tcBorders>
            <w:shd w:val="clear" w:color="auto" w:fill="264B5A"/>
            <w:noWrap/>
            <w:vAlign w:val="center"/>
          </w:tcPr>
          <w:p w14:paraId="0A5CC8ED"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الرقم</w:t>
            </w:r>
          </w:p>
        </w:tc>
        <w:tc>
          <w:tcPr>
            <w:tcW w:w="4072" w:type="dxa"/>
            <w:tcBorders>
              <w:top w:val="single" w:sz="4" w:space="0" w:color="auto"/>
              <w:bottom w:val="single" w:sz="4" w:space="0" w:color="auto"/>
            </w:tcBorders>
            <w:shd w:val="clear" w:color="auto" w:fill="264B5A"/>
            <w:vAlign w:val="center"/>
          </w:tcPr>
          <w:p w14:paraId="2494D5AF"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CD66D24"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القرار</w:t>
            </w:r>
          </w:p>
        </w:tc>
      </w:tr>
      <w:tr w:rsidR="00047D63" w:rsidRPr="00C423D5" w14:paraId="0BFC897E"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529016C8"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7CC6CDDF"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1D4CE55" w14:textId="77777777" w:rsidR="00047D63" w:rsidRPr="00595047" w:rsidRDefault="00047D63" w:rsidP="00C14BAD">
            <w:pPr>
              <w:bidi/>
              <w:spacing w:before="40" w:after="40"/>
              <w:jc w:val="left"/>
              <w:rPr>
                <w:rFonts w:cs="Arial"/>
              </w:rPr>
            </w:pPr>
          </w:p>
        </w:tc>
      </w:tr>
      <w:tr w:rsidR="00047D63" w:rsidRPr="00C423D5" w14:paraId="20BC368F"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72336EED"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3A33773B"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371D318" w14:textId="77777777" w:rsidR="00047D63" w:rsidRPr="00595047" w:rsidRDefault="00047D63" w:rsidP="00C14BAD">
            <w:pPr>
              <w:bidi/>
              <w:spacing w:before="40" w:after="40"/>
              <w:jc w:val="left"/>
              <w:rPr>
                <w:rFonts w:cs="Arial"/>
              </w:rPr>
            </w:pPr>
          </w:p>
        </w:tc>
      </w:tr>
      <w:tr w:rsidR="00047D63" w:rsidRPr="00C423D5" w14:paraId="6EB34951"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6F85C292"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798644D6"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F0BB1DD" w14:textId="77777777" w:rsidR="00047D63" w:rsidRPr="00595047" w:rsidRDefault="00047D63" w:rsidP="00C14BAD">
            <w:pPr>
              <w:bidi/>
              <w:spacing w:before="40" w:after="40"/>
              <w:jc w:val="left"/>
              <w:rPr>
                <w:rFonts w:cs="Arial"/>
              </w:rPr>
            </w:pPr>
          </w:p>
        </w:tc>
      </w:tr>
      <w:tr w:rsidR="00047D63" w:rsidRPr="00C423D5" w14:paraId="253E6E37"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6F10A70D"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6CE59D06"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FC5E066" w14:textId="77777777" w:rsidR="00047D63" w:rsidRPr="00595047" w:rsidRDefault="00047D63" w:rsidP="00C14BAD">
            <w:pPr>
              <w:bidi/>
              <w:spacing w:before="40" w:after="40"/>
              <w:jc w:val="left"/>
              <w:rPr>
                <w:rFonts w:cs="Arial"/>
              </w:rPr>
            </w:pPr>
          </w:p>
        </w:tc>
      </w:tr>
      <w:tr w:rsidR="00047D63" w:rsidRPr="00C423D5" w14:paraId="77213A1B" w14:textId="77777777" w:rsidTr="00C14BAD">
        <w:trPr>
          <w:trHeight w:val="105"/>
        </w:trPr>
        <w:tc>
          <w:tcPr>
            <w:tcW w:w="5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17008E" w14:textId="77777777" w:rsidR="00047D63" w:rsidRPr="00595047" w:rsidRDefault="00047D63" w:rsidP="00C14BAD">
            <w:pPr>
              <w:bidi/>
              <w:spacing w:before="40" w:after="40"/>
              <w:jc w:val="left"/>
              <w:rPr>
                <w:rFonts w:cs="Arial"/>
              </w:rPr>
            </w:pPr>
            <w:r w:rsidRPr="00595047">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7D39D9" w14:textId="77777777" w:rsidR="00047D63" w:rsidRPr="00595047" w:rsidRDefault="00047D63" w:rsidP="00C14BAD">
            <w:pPr>
              <w:bidi/>
              <w:spacing w:before="40" w:after="40"/>
              <w:jc w:val="left"/>
              <w:rPr>
                <w:rFonts w:cs="Arial"/>
              </w:rPr>
            </w:pPr>
            <w:r w:rsidRPr="00595047">
              <w:rPr>
                <w:rFonts w:cs="Arial"/>
                <w:rtl/>
                <w:lang w:eastAsia="ar"/>
              </w:rPr>
              <w:t>اسم المراجع / التوقيع والتاريخ:</w:t>
            </w:r>
          </w:p>
        </w:tc>
      </w:tr>
      <w:tr w:rsidR="00047D63" w:rsidRPr="00C423D5" w14:paraId="63E495D9" w14:textId="77777777" w:rsidTr="00C14BAD">
        <w:trPr>
          <w:trHeight w:val="479"/>
        </w:trPr>
        <w:tc>
          <w:tcPr>
            <w:tcW w:w="5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BF1CD0" w14:textId="77777777" w:rsidR="00047D63" w:rsidRPr="00595047" w:rsidRDefault="00047D63" w:rsidP="00C14BA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C12CE8" w14:textId="77777777" w:rsidR="00047D63" w:rsidRPr="00595047" w:rsidRDefault="00047D63" w:rsidP="00C14BAD">
            <w:pPr>
              <w:bidi/>
              <w:spacing w:before="40" w:after="40"/>
              <w:jc w:val="left"/>
              <w:rPr>
                <w:rFonts w:cs="Arial"/>
              </w:rPr>
            </w:pPr>
          </w:p>
        </w:tc>
      </w:tr>
    </w:tbl>
    <w:p w14:paraId="5355904E" w14:textId="77777777" w:rsidR="00047D63" w:rsidRDefault="00047D63" w:rsidP="00047D63">
      <w:pPr>
        <w:bidi/>
      </w:pPr>
    </w:p>
    <w:p w14:paraId="40FA6124" w14:textId="77777777" w:rsidR="003C6B98" w:rsidRPr="003C2584" w:rsidRDefault="003C6B98" w:rsidP="003C2584">
      <w:pPr>
        <w:bidi/>
      </w:pPr>
    </w:p>
    <w:sectPr w:rsidR="003C6B98" w:rsidRPr="003C2584" w:rsidSect="00832676">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98FFD" w14:textId="77777777" w:rsidR="00873D16" w:rsidRDefault="00873D16">
      <w:r>
        <w:separator/>
      </w:r>
    </w:p>
    <w:p w14:paraId="4A55B314" w14:textId="77777777" w:rsidR="00873D16" w:rsidRDefault="00873D16"/>
  </w:endnote>
  <w:endnote w:type="continuationSeparator" w:id="0">
    <w:p w14:paraId="78D284FA" w14:textId="77777777" w:rsidR="00873D16" w:rsidRDefault="00873D16">
      <w:r>
        <w:continuationSeparator/>
      </w:r>
    </w:p>
    <w:p w14:paraId="3F44736A" w14:textId="77777777" w:rsidR="00873D16" w:rsidRDefault="00873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CF7D8" w14:textId="77777777" w:rsidR="00463598" w:rsidRDefault="004635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sz w:val="16"/>
        <w:szCs w:val="16"/>
        <w:lang w:val="en-AU"/>
      </w:rPr>
    </w:pPr>
  </w:p>
  <w:p w14:paraId="2F358E9E" w14:textId="4A8B7C1A" w:rsidR="00463598" w:rsidRPr="006C1ABD" w:rsidRDefault="00463598" w:rsidP="00463598">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4181B4CA" wp14:editId="5004CFC1">
              <wp:simplePos x="0" y="0"/>
              <wp:positionH relativeFrom="margin">
                <wp:align>left</wp:align>
              </wp:positionH>
              <wp:positionV relativeFrom="paragraph">
                <wp:posOffset>146878</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FC89EE" id="Straight Connector 5"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5pt" to="48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569926930"/>
        <w:placeholder>
          <w:docPart w:val="3AAE87AEF86B4BBBA8BD278E722BEB5E"/>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EOM-ZO0-TP-000006</w:t>
        </w:r>
      </w:sdtContent>
    </w:sdt>
    <w:r>
      <w:rPr>
        <w:rFonts w:eastAsia="Arial" w:cs="Arial"/>
        <w:color w:val="7A8D95"/>
        <w:sz w:val="16"/>
        <w:szCs w:val="16"/>
      </w:rPr>
      <w:t xml:space="preserve">-AR </w:t>
    </w:r>
    <w:r w:rsidRPr="006C1ABD">
      <w:rPr>
        <w:rFonts w:eastAsia="Arial" w:cs="Arial"/>
        <w:color w:val="7A8D95"/>
        <w:sz w:val="16"/>
        <w:szCs w:val="16"/>
      </w:rPr>
      <w:t xml:space="preserve">Rev </w:t>
    </w:r>
    <w:sdt>
      <w:sdtPr>
        <w:rPr>
          <w:rFonts w:eastAsia="Arial" w:cs="Arial"/>
          <w:color w:val="7A8D95"/>
          <w:sz w:val="16"/>
          <w:szCs w:val="16"/>
        </w:rPr>
        <w:alias w:val="Status"/>
        <w:tag w:val=""/>
        <w:id w:val="-885322914"/>
        <w:placeholder>
          <w:docPart w:val="9A6C972D5DCE4BFB9C405D16E0B19769"/>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512410439"/>
        <w:placeholder>
          <w:docPart w:val="37496B70567647AD95DEE65F562FA601"/>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34AD17C5" w14:textId="3CBA7995" w:rsidR="00463598" w:rsidRPr="006C1ABD" w:rsidRDefault="00463598" w:rsidP="0046359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5E5AC675" w:rsidR="009210BF" w:rsidRPr="00463598" w:rsidRDefault="00463598" w:rsidP="00463598">
    <w:pPr>
      <w:spacing w:after="240"/>
      <w:ind w:left="450" w:right="90"/>
      <w:jc w:val="right"/>
      <w:rPr>
        <w:rFonts w:eastAsia="Arial" w:cs="Arial"/>
        <w:color w:val="7A8D95"/>
        <w:sz w:val="16"/>
        <w:szCs w:val="16"/>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9FEF3" w14:textId="77777777" w:rsidR="00463598" w:rsidRDefault="004635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A3C2C" w14:textId="77777777" w:rsidR="00873D16" w:rsidRDefault="00873D16">
      <w:r>
        <w:separator/>
      </w:r>
    </w:p>
    <w:p w14:paraId="7C33314F" w14:textId="77777777" w:rsidR="00873D16" w:rsidRDefault="00873D16"/>
  </w:footnote>
  <w:footnote w:type="continuationSeparator" w:id="0">
    <w:p w14:paraId="7E32CADF" w14:textId="77777777" w:rsidR="00873D16" w:rsidRDefault="00873D16">
      <w:r>
        <w:continuationSeparator/>
      </w:r>
    </w:p>
    <w:p w14:paraId="7D9DD6BA" w14:textId="77777777" w:rsidR="00873D16" w:rsidRDefault="00873D1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7067" w14:textId="77777777" w:rsidR="00463598" w:rsidRDefault="004635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DC4BFE" w14:paraId="55B15A60" w14:textId="77777777" w:rsidTr="00DC4BFE">
      <w:tc>
        <w:tcPr>
          <w:tcW w:w="6845" w:type="dxa"/>
          <w:vAlign w:val="center"/>
        </w:tcPr>
        <w:p w14:paraId="361EC67C" w14:textId="62D84696" w:rsidR="00DC4BFE" w:rsidRPr="006A25F8" w:rsidRDefault="00463598" w:rsidP="00463598">
          <w:pPr>
            <w:pStyle w:val="CPDocTitle"/>
            <w:bidi/>
            <w:rPr>
              <w:kern w:val="32"/>
              <w:sz w:val="24"/>
              <w:szCs w:val="24"/>
              <w:lang w:val="en-GB"/>
            </w:rPr>
          </w:pPr>
          <w:r>
            <w:rPr>
              <w:rFonts w:hint="cs"/>
              <w:kern w:val="32"/>
              <w:sz w:val="24"/>
              <w:szCs w:val="24"/>
              <w:rtl/>
              <w:lang w:eastAsia="ar"/>
            </w:rPr>
            <w:t xml:space="preserve">                   </w:t>
          </w:r>
          <w:bookmarkStart w:id="0" w:name="_GoBack"/>
          <w:r w:rsidR="00DC4BFE" w:rsidRPr="001D1752">
            <w:rPr>
              <w:kern w:val="32"/>
              <w:sz w:val="24"/>
              <w:szCs w:val="24"/>
              <w:rtl/>
              <w:lang w:eastAsia="ar"/>
            </w:rPr>
            <w:t>قائمة تدقيق إجراءات الاستجابة ل</w:t>
          </w:r>
          <w:r w:rsidR="00A276F1">
            <w:rPr>
              <w:rFonts w:hint="cs"/>
              <w:kern w:val="32"/>
              <w:sz w:val="24"/>
              <w:szCs w:val="24"/>
              <w:rtl/>
              <w:lang w:eastAsia="ar"/>
            </w:rPr>
            <w:t>حالات ا</w:t>
          </w:r>
          <w:r w:rsidR="00A276F1">
            <w:rPr>
              <w:kern w:val="32"/>
              <w:sz w:val="24"/>
              <w:szCs w:val="24"/>
              <w:rtl/>
              <w:lang w:eastAsia="ar"/>
            </w:rPr>
            <w:t xml:space="preserve">لطوارئ </w:t>
          </w:r>
          <w:r w:rsidR="00A276F1">
            <w:rPr>
              <w:rFonts w:hint="cs"/>
              <w:kern w:val="32"/>
              <w:sz w:val="24"/>
              <w:szCs w:val="24"/>
              <w:rtl/>
              <w:lang w:eastAsia="ar"/>
            </w:rPr>
            <w:t>ل</w:t>
          </w:r>
          <w:r w:rsidR="00DC4BFE" w:rsidRPr="001D1752">
            <w:rPr>
              <w:kern w:val="32"/>
              <w:sz w:val="24"/>
              <w:szCs w:val="24"/>
              <w:rtl/>
              <w:lang w:eastAsia="ar"/>
            </w:rPr>
            <w:t xml:space="preserve">لأنظمة الميكانيكية في قطاع </w:t>
          </w:r>
          <w:r w:rsidR="00A276F1">
            <w:rPr>
              <w:rFonts w:hint="cs"/>
              <w:kern w:val="32"/>
              <w:sz w:val="24"/>
              <w:szCs w:val="24"/>
              <w:rtl/>
              <w:lang w:eastAsia="ar"/>
            </w:rPr>
            <w:t>الرعاية</w:t>
          </w:r>
          <w:r w:rsidR="00DC4BFE" w:rsidRPr="001D1752">
            <w:rPr>
              <w:kern w:val="32"/>
              <w:sz w:val="24"/>
              <w:szCs w:val="24"/>
              <w:rtl/>
              <w:lang w:eastAsia="ar"/>
            </w:rPr>
            <w:t xml:space="preserve"> الصحية</w:t>
          </w:r>
          <w:bookmarkEnd w:id="0"/>
        </w:p>
      </w:tc>
    </w:tr>
  </w:tbl>
  <w:p w14:paraId="0FE4F66F" w14:textId="1E30B499" w:rsidR="009210BF" w:rsidRPr="00710964" w:rsidRDefault="00710964" w:rsidP="00AC1B11">
    <w:pPr>
      <w:pStyle w:val="Header"/>
      <w:bidi/>
    </w:pPr>
    <w:r>
      <w:rPr>
        <w:noProof/>
        <w:lang w:eastAsia="en-US"/>
      </w:rPr>
      <w:drawing>
        <wp:anchor distT="0" distB="0" distL="114300" distR="114300" simplePos="0" relativeHeight="251658240" behindDoc="0" locked="0" layoutInCell="1" allowOverlap="1" wp14:anchorId="2BBFCA92" wp14:editId="18014441">
          <wp:simplePos x="0" y="0"/>
          <wp:positionH relativeFrom="page">
            <wp:posOffset>59127</wp:posOffset>
          </wp:positionH>
          <wp:positionV relativeFrom="paragraph">
            <wp:posOffset>-631383</wp:posOffset>
          </wp:positionV>
          <wp:extent cx="1268233" cy="555082"/>
          <wp:effectExtent l="0" t="0" r="825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8233" cy="55508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EB536" w14:textId="77777777" w:rsidR="00463598" w:rsidRDefault="004635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47D63"/>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52"/>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8A1"/>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8793E"/>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4A28"/>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66B7"/>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584"/>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359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2B34"/>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96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3D16"/>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276F1"/>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4BFE"/>
    <w:rsid w:val="00DC53AD"/>
    <w:rsid w:val="00DC65A4"/>
    <w:rsid w:val="00DD058C"/>
    <w:rsid w:val="00DD17D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4C80"/>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118"/>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AE87AEF86B4BBBA8BD278E722BEB5E"/>
        <w:category>
          <w:name w:val="General"/>
          <w:gallery w:val="placeholder"/>
        </w:category>
        <w:types>
          <w:type w:val="bbPlcHdr"/>
        </w:types>
        <w:behaviors>
          <w:behavior w:val="content"/>
        </w:behaviors>
        <w:guid w:val="{E443AAA8-661C-42D7-A971-FC8D1091EA51}"/>
      </w:docPartPr>
      <w:docPartBody>
        <w:p w:rsidR="00000000" w:rsidRDefault="00C570D4" w:rsidP="00C570D4">
          <w:pPr>
            <w:pStyle w:val="3AAE87AEF86B4BBBA8BD278E722BEB5E"/>
          </w:pPr>
          <w:r w:rsidRPr="00D16477">
            <w:rPr>
              <w:rStyle w:val="PlaceholderText"/>
            </w:rPr>
            <w:t>[Subject]</w:t>
          </w:r>
        </w:p>
      </w:docPartBody>
    </w:docPart>
    <w:docPart>
      <w:docPartPr>
        <w:name w:val="9A6C972D5DCE4BFB9C405D16E0B19769"/>
        <w:category>
          <w:name w:val="General"/>
          <w:gallery w:val="placeholder"/>
        </w:category>
        <w:types>
          <w:type w:val="bbPlcHdr"/>
        </w:types>
        <w:behaviors>
          <w:behavior w:val="content"/>
        </w:behaviors>
        <w:guid w:val="{46B7A637-AAAB-44AD-A071-8BECF3066178}"/>
      </w:docPartPr>
      <w:docPartBody>
        <w:p w:rsidR="00000000" w:rsidRDefault="00C570D4" w:rsidP="00C570D4">
          <w:pPr>
            <w:pStyle w:val="9A6C972D5DCE4BFB9C405D16E0B19769"/>
          </w:pPr>
          <w:r w:rsidRPr="00D16477">
            <w:rPr>
              <w:rStyle w:val="PlaceholderText"/>
            </w:rPr>
            <w:t>[Status]</w:t>
          </w:r>
        </w:p>
      </w:docPartBody>
    </w:docPart>
    <w:docPart>
      <w:docPartPr>
        <w:name w:val="37496B70567647AD95DEE65F562FA601"/>
        <w:category>
          <w:name w:val="General"/>
          <w:gallery w:val="placeholder"/>
        </w:category>
        <w:types>
          <w:type w:val="bbPlcHdr"/>
        </w:types>
        <w:behaviors>
          <w:behavior w:val="content"/>
        </w:behaviors>
        <w:guid w:val="{569E3FA0-F54C-46EF-8D70-CEBF8C2EFBD2}"/>
      </w:docPartPr>
      <w:docPartBody>
        <w:p w:rsidR="00000000" w:rsidRDefault="00C570D4" w:rsidP="00C570D4">
          <w:pPr>
            <w:pStyle w:val="37496B70567647AD95DEE65F562FA60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D4"/>
    <w:rsid w:val="000C3BDA"/>
    <w:rsid w:val="00C57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570D4"/>
    <w:rPr>
      <w:color w:val="808080"/>
    </w:rPr>
  </w:style>
  <w:style w:type="paragraph" w:customStyle="1" w:styleId="AD0307C45E5F4DCC83DE53F21B0F23A2">
    <w:name w:val="AD0307C45E5F4DCC83DE53F21B0F23A2"/>
    <w:rsid w:val="00C570D4"/>
    <w:pPr>
      <w:bidi/>
    </w:pPr>
  </w:style>
  <w:style w:type="paragraph" w:customStyle="1" w:styleId="52599CCC14F34D5998250F1301847676">
    <w:name w:val="52599CCC14F34D5998250F1301847676"/>
    <w:rsid w:val="00C570D4"/>
    <w:pPr>
      <w:bidi/>
    </w:pPr>
  </w:style>
  <w:style w:type="paragraph" w:customStyle="1" w:styleId="0BC7E6B55C5947D7AE353557CA6FC62D">
    <w:name w:val="0BC7E6B55C5947D7AE353557CA6FC62D"/>
    <w:rsid w:val="00C570D4"/>
    <w:pPr>
      <w:bidi/>
    </w:pPr>
  </w:style>
  <w:style w:type="paragraph" w:customStyle="1" w:styleId="3AAE87AEF86B4BBBA8BD278E722BEB5E">
    <w:name w:val="3AAE87AEF86B4BBBA8BD278E722BEB5E"/>
    <w:rsid w:val="00C570D4"/>
    <w:pPr>
      <w:bidi/>
    </w:pPr>
  </w:style>
  <w:style w:type="paragraph" w:customStyle="1" w:styleId="9A6C972D5DCE4BFB9C405D16E0B19769">
    <w:name w:val="9A6C972D5DCE4BFB9C405D16E0B19769"/>
    <w:rsid w:val="00C570D4"/>
    <w:pPr>
      <w:bidi/>
    </w:pPr>
  </w:style>
  <w:style w:type="paragraph" w:customStyle="1" w:styleId="37496B70567647AD95DEE65F562FA601">
    <w:name w:val="37496B70567647AD95DEE65F562FA601"/>
    <w:rsid w:val="00C570D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EFEF78BE-B9EB-48F5-8F4D-8F1B17A60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42DE9-EC6C-41BF-8B1B-8F307986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46</TotalTime>
  <Pages>2</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7842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EOM-ZO0-TP-000006</dc:subject>
  <dc:creator>Rivamonte, Leonnito (RMP)</dc:creator>
  <cp:keywords>ᅟ</cp:keywords>
  <cp:lastModifiedBy>الاء الزهراني Alaa Alzahrani</cp:lastModifiedBy>
  <cp:revision>60</cp:revision>
  <cp:lastPrinted>2017-10-17T10:11:00Z</cp:lastPrinted>
  <dcterms:created xsi:type="dcterms:W3CDTF">2019-12-16T06:44:00Z</dcterms:created>
  <dcterms:modified xsi:type="dcterms:W3CDTF">2022-01-30T14:22:00Z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